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94CB5" w14:textId="77777777" w:rsidR="008F0A2E" w:rsidRDefault="008F0A2E">
      <w:pPr>
        <w:spacing w:before="365" w:line="240" w:lineRule="exact"/>
        <w:jc w:val="center"/>
        <w:outlineLvl w:val="0"/>
        <w:rPr>
          <w:rFonts w:ascii="Times New Roman" w:eastAsia="等线" w:hAnsi="Times New Roman" w:cs="Times New Roman"/>
          <w:b/>
          <w:bCs/>
          <w:spacing w:val="9"/>
          <w:sz w:val="32"/>
          <w:szCs w:val="32"/>
        </w:rPr>
      </w:pPr>
    </w:p>
    <w:p w14:paraId="7CE0627D" w14:textId="77777777" w:rsidR="008F0A2E" w:rsidRDefault="00000000">
      <w:pPr>
        <w:spacing w:before="365" w:line="240" w:lineRule="exact"/>
        <w:jc w:val="center"/>
        <w:outlineLvl w:val="0"/>
        <w:rPr>
          <w:rFonts w:ascii="Times New Roman" w:eastAsia="等线" w:hAnsi="Times New Roman" w:cs="Times New Roman"/>
          <w:b/>
          <w:bCs/>
          <w:spacing w:val="9"/>
          <w:sz w:val="32"/>
          <w:szCs w:val="32"/>
        </w:rPr>
      </w:pPr>
      <w:r>
        <w:rPr>
          <w:rFonts w:ascii="Times New Roman" w:eastAsia="等线" w:hAnsi="Times New Roman" w:cs="Times New Roman"/>
          <w:b/>
          <w:bCs/>
          <w:spacing w:val="9"/>
          <w:sz w:val="32"/>
          <w:szCs w:val="32"/>
        </w:rPr>
        <w:t>长春市九台区人力资源和社会保障局</w:t>
      </w:r>
      <w:r>
        <w:rPr>
          <w:rFonts w:ascii="Times New Roman" w:eastAsia="等线" w:hAnsi="Times New Roman" w:cs="Times New Roman"/>
          <w:b/>
          <w:bCs/>
          <w:spacing w:val="9"/>
          <w:sz w:val="32"/>
          <w:szCs w:val="32"/>
        </w:rPr>
        <w:t xml:space="preserve"> </w:t>
      </w:r>
    </w:p>
    <w:p w14:paraId="472F5218" w14:textId="77777777" w:rsidR="008F0A2E" w:rsidRDefault="00000000">
      <w:pPr>
        <w:spacing w:before="365" w:line="240" w:lineRule="exact"/>
        <w:jc w:val="center"/>
        <w:outlineLvl w:val="0"/>
        <w:rPr>
          <w:rFonts w:ascii="Times New Roman" w:hAnsi="Times New Roman" w:cs="Times New Roman"/>
          <w:b/>
          <w:bCs/>
          <w:spacing w:val="9"/>
          <w:sz w:val="36"/>
          <w:szCs w:val="36"/>
        </w:rPr>
      </w:pPr>
      <w:r>
        <w:rPr>
          <w:rFonts w:ascii="Times New Roman" w:eastAsia="等线" w:hAnsi="Times New Roman" w:cs="Times New Roman"/>
          <w:b/>
          <w:bCs/>
          <w:spacing w:val="9"/>
          <w:sz w:val="32"/>
          <w:szCs w:val="32"/>
        </w:rPr>
        <w:t xml:space="preserve">2022 </w:t>
      </w:r>
      <w:r>
        <w:rPr>
          <w:rFonts w:ascii="Times New Roman" w:eastAsia="等线" w:hAnsi="Times New Roman" w:cs="Times New Roman"/>
          <w:b/>
          <w:bCs/>
          <w:spacing w:val="9"/>
          <w:sz w:val="32"/>
          <w:szCs w:val="32"/>
        </w:rPr>
        <w:t>年度部门整体支出</w:t>
      </w:r>
    </w:p>
    <w:p w14:paraId="7D6D2E2B" w14:textId="77777777" w:rsidR="008F0A2E" w:rsidRDefault="00000000">
      <w:pPr>
        <w:spacing w:beforeLines="100" w:before="312" w:line="57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绩效评价报告摘要</w:t>
      </w:r>
    </w:p>
    <w:p w14:paraId="60912473" w14:textId="77777777" w:rsidR="008F0A2E" w:rsidRDefault="008F0A2E">
      <w:pPr>
        <w:ind w:firstLineChars="200" w:firstLine="560"/>
        <w:rPr>
          <w:rFonts w:ascii="Times New Roman" w:hAnsi="Times New Roman" w:cs="Times New Roman"/>
          <w:sz w:val="28"/>
          <w:szCs w:val="28"/>
        </w:rPr>
      </w:pPr>
    </w:p>
    <w:p w14:paraId="3B30414B" w14:textId="77777777" w:rsidR="008F0A2E" w:rsidRDefault="00000000">
      <w:pPr>
        <w:widowControl/>
        <w:spacing w:line="576" w:lineRule="exact"/>
        <w:ind w:firstLineChars="200" w:firstLine="640"/>
        <w:rPr>
          <w:rFonts w:ascii="Times New Roman" w:eastAsia="黑体" w:hAnsi="Times New Roman" w:cs="Times New Roman"/>
          <w:color w:val="000000"/>
          <w:kern w:val="0"/>
          <w:sz w:val="32"/>
          <w:szCs w:val="21"/>
        </w:rPr>
      </w:pPr>
      <w:r>
        <w:rPr>
          <w:rFonts w:ascii="Times New Roman" w:eastAsia="黑体" w:hAnsi="Times New Roman" w:cs="Times New Roman"/>
          <w:color w:val="000000"/>
          <w:kern w:val="0"/>
          <w:sz w:val="32"/>
          <w:szCs w:val="21"/>
        </w:rPr>
        <w:t>一、部门整体支出情况</w:t>
      </w:r>
    </w:p>
    <w:p w14:paraId="4545BB34" w14:textId="77777777" w:rsidR="008F0A2E" w:rsidRDefault="00000000">
      <w:pPr>
        <w:spacing w:line="576" w:lineRule="exact"/>
        <w:ind w:firstLineChars="200" w:firstLine="640"/>
        <w:rPr>
          <w:rFonts w:ascii="Times New Roman" w:hAnsi="Times New Roman" w:cs="Times New Roman"/>
          <w:sz w:val="28"/>
          <w:szCs w:val="28"/>
        </w:rPr>
      </w:pPr>
      <w:r>
        <w:rPr>
          <w:rFonts w:ascii="Times New Roman" w:eastAsia="仿宋_GB2312" w:hAnsi="Times New Roman" w:cs="Times New Roman"/>
          <w:color w:val="000000"/>
          <w:kern w:val="0"/>
          <w:sz w:val="32"/>
          <w:szCs w:val="22"/>
        </w:rPr>
        <w:t>2022</w:t>
      </w:r>
      <w:r>
        <w:rPr>
          <w:rFonts w:ascii="Times New Roman" w:eastAsia="仿宋_GB2312" w:hAnsi="Times New Roman" w:cs="Times New Roman"/>
          <w:color w:val="000000"/>
          <w:kern w:val="0"/>
          <w:sz w:val="32"/>
          <w:szCs w:val="22"/>
        </w:rPr>
        <w:t>年年初部门整体支出预算</w:t>
      </w:r>
      <w:r>
        <w:rPr>
          <w:rFonts w:ascii="Times New Roman" w:eastAsia="仿宋_GB2312" w:hAnsi="Times New Roman" w:cs="Times New Roman"/>
          <w:color w:val="000000"/>
          <w:kern w:val="0"/>
          <w:sz w:val="32"/>
          <w:szCs w:val="22"/>
        </w:rPr>
        <w:t>4433.69</w:t>
      </w:r>
      <w:r>
        <w:rPr>
          <w:rFonts w:ascii="Times New Roman" w:eastAsia="仿宋_GB2312" w:hAnsi="Times New Roman" w:cs="Times New Roman"/>
          <w:color w:val="000000"/>
          <w:kern w:val="0"/>
          <w:sz w:val="32"/>
          <w:szCs w:val="22"/>
        </w:rPr>
        <w:t>万元。截止</w:t>
      </w:r>
      <w:r>
        <w:rPr>
          <w:rFonts w:ascii="Times New Roman" w:eastAsia="仿宋_GB2312" w:hAnsi="Times New Roman" w:cs="Times New Roman"/>
          <w:color w:val="000000"/>
          <w:kern w:val="0"/>
          <w:sz w:val="32"/>
          <w:szCs w:val="22"/>
        </w:rPr>
        <w:t>2022</w:t>
      </w:r>
      <w:r>
        <w:rPr>
          <w:rFonts w:ascii="Times New Roman" w:eastAsia="仿宋_GB2312" w:hAnsi="Times New Roman" w:cs="Times New Roman"/>
          <w:color w:val="000000"/>
          <w:kern w:val="0"/>
          <w:sz w:val="32"/>
          <w:szCs w:val="22"/>
        </w:rPr>
        <w:t>年</w:t>
      </w:r>
      <w:r>
        <w:rPr>
          <w:rFonts w:ascii="Times New Roman" w:eastAsia="仿宋_GB2312" w:hAnsi="Times New Roman" w:cs="Times New Roman"/>
          <w:color w:val="000000"/>
          <w:kern w:val="0"/>
          <w:sz w:val="32"/>
          <w:szCs w:val="22"/>
        </w:rPr>
        <w:t>12</w:t>
      </w:r>
      <w:r>
        <w:rPr>
          <w:rFonts w:ascii="Times New Roman" w:eastAsia="仿宋_GB2312" w:hAnsi="Times New Roman" w:cs="Times New Roman"/>
          <w:color w:val="000000"/>
          <w:kern w:val="0"/>
          <w:sz w:val="32"/>
          <w:szCs w:val="22"/>
        </w:rPr>
        <w:t>月</w:t>
      </w:r>
      <w:r>
        <w:rPr>
          <w:rFonts w:ascii="Times New Roman" w:eastAsia="仿宋_GB2312" w:hAnsi="Times New Roman" w:cs="Times New Roman"/>
          <w:color w:val="000000"/>
          <w:kern w:val="0"/>
          <w:sz w:val="32"/>
          <w:szCs w:val="22"/>
        </w:rPr>
        <w:t>31</w:t>
      </w:r>
      <w:r>
        <w:rPr>
          <w:rFonts w:ascii="Times New Roman" w:eastAsia="仿宋_GB2312" w:hAnsi="Times New Roman" w:cs="Times New Roman"/>
          <w:color w:val="000000"/>
          <w:kern w:val="0"/>
          <w:sz w:val="32"/>
          <w:szCs w:val="22"/>
        </w:rPr>
        <w:t>日，实际财政拨款收入</w:t>
      </w:r>
      <w:r>
        <w:rPr>
          <w:rFonts w:ascii="Times New Roman" w:eastAsia="仿宋_GB2312" w:hAnsi="Times New Roman" w:cs="Times New Roman"/>
          <w:color w:val="000000"/>
          <w:kern w:val="0"/>
          <w:sz w:val="32"/>
          <w:szCs w:val="22"/>
        </w:rPr>
        <w:t>4415.57</w:t>
      </w:r>
      <w:r>
        <w:rPr>
          <w:rFonts w:ascii="Times New Roman" w:eastAsia="仿宋_GB2312" w:hAnsi="Times New Roman" w:cs="Times New Roman"/>
          <w:color w:val="000000"/>
          <w:kern w:val="0"/>
          <w:sz w:val="32"/>
          <w:szCs w:val="22"/>
        </w:rPr>
        <w:t>万元，部门整体支出决算</w:t>
      </w:r>
      <w:r>
        <w:rPr>
          <w:rFonts w:ascii="Times New Roman" w:eastAsia="仿宋_GB2312" w:hAnsi="Times New Roman" w:cs="Times New Roman"/>
          <w:color w:val="000000"/>
          <w:kern w:val="0"/>
          <w:sz w:val="32"/>
          <w:szCs w:val="22"/>
        </w:rPr>
        <w:t>4438.11</w:t>
      </w:r>
      <w:r>
        <w:rPr>
          <w:rFonts w:ascii="Times New Roman" w:eastAsia="仿宋_GB2312" w:hAnsi="Times New Roman" w:cs="Times New Roman"/>
          <w:color w:val="000000"/>
          <w:kern w:val="0"/>
          <w:sz w:val="32"/>
          <w:szCs w:val="22"/>
        </w:rPr>
        <w:t>万元。执行率为</w:t>
      </w:r>
      <w:r>
        <w:rPr>
          <w:rFonts w:ascii="Times New Roman" w:eastAsia="仿宋_GB2312" w:hAnsi="Times New Roman" w:cs="Times New Roman"/>
          <w:color w:val="000000"/>
          <w:kern w:val="0"/>
          <w:sz w:val="32"/>
          <w:szCs w:val="22"/>
        </w:rPr>
        <w:t>100%</w:t>
      </w:r>
      <w:r>
        <w:rPr>
          <w:rFonts w:ascii="Times New Roman" w:eastAsia="仿宋_GB2312" w:hAnsi="Times New Roman" w:cs="Times New Roman"/>
          <w:color w:val="000000"/>
          <w:kern w:val="0"/>
          <w:sz w:val="32"/>
          <w:szCs w:val="22"/>
        </w:rPr>
        <w:t>。</w:t>
      </w:r>
    </w:p>
    <w:p w14:paraId="1F2B9561" w14:textId="77777777" w:rsidR="008F0A2E" w:rsidRDefault="00000000">
      <w:pPr>
        <w:widowControl/>
        <w:spacing w:line="576" w:lineRule="exact"/>
        <w:ind w:firstLineChars="200" w:firstLine="640"/>
        <w:rPr>
          <w:rFonts w:ascii="Times New Roman" w:eastAsia="黑体" w:hAnsi="Times New Roman" w:cs="Times New Roman"/>
          <w:color w:val="000000"/>
          <w:kern w:val="0"/>
          <w:sz w:val="32"/>
          <w:szCs w:val="21"/>
        </w:rPr>
      </w:pPr>
      <w:r>
        <w:rPr>
          <w:rFonts w:ascii="Times New Roman" w:eastAsia="黑体" w:hAnsi="Times New Roman" w:cs="Times New Roman"/>
          <w:color w:val="000000"/>
          <w:kern w:val="0"/>
          <w:sz w:val="32"/>
          <w:szCs w:val="21"/>
        </w:rPr>
        <w:t>二、评价结论</w:t>
      </w:r>
    </w:p>
    <w:p w14:paraId="660E7BC2" w14:textId="77777777" w:rsidR="008F0A2E" w:rsidRDefault="00000000">
      <w:pPr>
        <w:ind w:firstLineChars="200" w:firstLine="640"/>
        <w:rPr>
          <w:rFonts w:ascii="Times New Roman" w:eastAsia="仿宋_GB2312" w:hAnsi="Times New Roman" w:cs="Times New Roman"/>
          <w:color w:val="000000"/>
          <w:kern w:val="0"/>
          <w:sz w:val="32"/>
          <w:szCs w:val="22"/>
        </w:rPr>
      </w:pPr>
      <w:r>
        <w:rPr>
          <w:rFonts w:ascii="Times New Roman" w:eastAsia="仿宋_GB2312" w:hAnsi="Times New Roman" w:cs="Times New Roman"/>
          <w:color w:val="000000"/>
          <w:kern w:val="0"/>
          <w:sz w:val="32"/>
          <w:szCs w:val="22"/>
        </w:rPr>
        <w:t>长春市九台区人力资源与社会保障局部门整体支出绩效评价得分</w:t>
      </w:r>
      <w:r>
        <w:rPr>
          <w:rFonts w:ascii="Times New Roman" w:eastAsia="仿宋_GB2312" w:hAnsi="Times New Roman" w:cs="Times New Roman"/>
          <w:color w:val="000000"/>
          <w:kern w:val="0"/>
          <w:sz w:val="32"/>
          <w:szCs w:val="22"/>
        </w:rPr>
        <w:t>81.73</w:t>
      </w:r>
      <w:r>
        <w:rPr>
          <w:rFonts w:ascii="Times New Roman" w:eastAsia="仿宋_GB2312" w:hAnsi="Times New Roman" w:cs="Times New Roman"/>
          <w:color w:val="000000"/>
          <w:kern w:val="0"/>
          <w:sz w:val="32"/>
          <w:szCs w:val="22"/>
        </w:rPr>
        <w:t>分，绩效评价结果为</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良</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w:t>
      </w:r>
    </w:p>
    <w:p w14:paraId="54AEB34B" w14:textId="77777777" w:rsidR="008F0A2E" w:rsidRDefault="00000000">
      <w:pPr>
        <w:ind w:firstLineChars="200" w:firstLine="640"/>
        <w:rPr>
          <w:rFonts w:ascii="Times New Roman" w:eastAsia="仿宋_GB2312" w:hAnsi="Times New Roman" w:cs="Times New Roman"/>
          <w:color w:val="000000"/>
          <w:kern w:val="0"/>
          <w:sz w:val="32"/>
          <w:szCs w:val="22"/>
        </w:rPr>
      </w:pPr>
      <w:r>
        <w:rPr>
          <w:rFonts w:ascii="Times New Roman" w:eastAsia="仿宋_GB2312" w:hAnsi="Times New Roman" w:cs="Times New Roman"/>
          <w:color w:val="000000"/>
          <w:kern w:val="0"/>
          <w:sz w:val="32"/>
          <w:szCs w:val="22"/>
        </w:rPr>
        <w:t>主要绩效：</w:t>
      </w:r>
    </w:p>
    <w:p w14:paraId="4D211AB6" w14:textId="77777777" w:rsidR="008F0A2E" w:rsidRDefault="00000000">
      <w:pPr>
        <w:ind w:firstLineChars="200" w:firstLine="640"/>
        <w:rPr>
          <w:rFonts w:ascii="Times New Roman" w:eastAsia="仿宋_GB2312" w:hAnsi="Times New Roman" w:cs="Times New Roman"/>
          <w:color w:val="000000"/>
          <w:kern w:val="0"/>
          <w:sz w:val="32"/>
          <w:szCs w:val="22"/>
        </w:rPr>
      </w:pPr>
      <w:r>
        <w:rPr>
          <w:rFonts w:ascii="Times New Roman" w:eastAsia="仿宋_GB2312" w:hAnsi="Times New Roman" w:cs="Times New Roman"/>
          <w:color w:val="000000"/>
          <w:kern w:val="0"/>
          <w:sz w:val="32"/>
          <w:szCs w:val="22"/>
        </w:rPr>
        <w:t>贯彻执行国家、省市人力资源和社会保障事业发展规划、政策；统筹全区人力资源和社会保障体系建设。夯实民生基础，促进实施就业创业；创新发展，促进人才增量提质；优化创业服务，打造吉林匠谷；主动化解矛盾，和谐劳动关系；提高办事效率，提升服务能力。</w:t>
      </w:r>
    </w:p>
    <w:p w14:paraId="0A0AA97D" w14:textId="77777777" w:rsidR="008F0A2E" w:rsidRDefault="00000000">
      <w:pPr>
        <w:widowControl/>
        <w:spacing w:line="576" w:lineRule="exact"/>
        <w:ind w:firstLineChars="200" w:firstLine="640"/>
        <w:rPr>
          <w:rFonts w:ascii="Times New Roman" w:eastAsia="黑体" w:hAnsi="Times New Roman" w:cs="Times New Roman"/>
          <w:color w:val="000000"/>
          <w:kern w:val="0"/>
          <w:sz w:val="32"/>
          <w:szCs w:val="21"/>
        </w:rPr>
      </w:pPr>
      <w:r>
        <w:rPr>
          <w:rFonts w:ascii="Times New Roman" w:eastAsia="黑体" w:hAnsi="Times New Roman" w:cs="Times New Roman"/>
          <w:color w:val="000000"/>
          <w:kern w:val="0"/>
          <w:sz w:val="32"/>
          <w:szCs w:val="21"/>
        </w:rPr>
        <w:t>三、存在问题</w:t>
      </w:r>
    </w:p>
    <w:p w14:paraId="5614CD11" w14:textId="77777777" w:rsidR="008F0A2E" w:rsidRDefault="00000000">
      <w:pPr>
        <w:spacing w:line="576" w:lineRule="exact"/>
        <w:ind w:firstLineChars="200" w:firstLine="640"/>
        <w:rPr>
          <w:rFonts w:ascii="Times New Roman" w:eastAsia="仿宋_GB2312" w:hAnsi="Times New Roman" w:cs="Times New Roman"/>
          <w:color w:val="000000"/>
          <w:kern w:val="0"/>
          <w:sz w:val="32"/>
          <w:szCs w:val="22"/>
        </w:rPr>
      </w:pPr>
      <w:r>
        <w:rPr>
          <w:rFonts w:ascii="Times New Roman" w:eastAsia="仿宋_GB2312" w:hAnsi="Times New Roman" w:cs="Times New Roman"/>
          <w:color w:val="000000"/>
          <w:kern w:val="0"/>
          <w:sz w:val="32"/>
          <w:szCs w:val="22"/>
        </w:rPr>
        <w:t>一是部门整体支出绩效目标不够详尽、具体、明确。例如，质量指标</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享受补贴及奖励人员的合理合规性</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公益性岗位人员工资标准和各类保险待遇执行情况</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的目标值为</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合</w:t>
      </w:r>
      <w:r>
        <w:rPr>
          <w:rFonts w:ascii="Times New Roman" w:eastAsia="仿宋_GB2312" w:hAnsi="Times New Roman" w:cs="Times New Roman"/>
          <w:color w:val="000000"/>
          <w:kern w:val="0"/>
          <w:sz w:val="32"/>
          <w:szCs w:val="22"/>
        </w:rPr>
        <w:lastRenderedPageBreak/>
        <w:t>理合法合规</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，指标不明确。二是</w:t>
      </w:r>
      <w:r>
        <w:rPr>
          <w:rFonts w:ascii="Times New Roman" w:eastAsia="仿宋_GB2312" w:hAnsi="Times New Roman" w:cs="Times New Roman"/>
          <w:kern w:val="0"/>
          <w:sz w:val="32"/>
          <w:szCs w:val="22"/>
        </w:rPr>
        <w:t>预算编制不够科学，预算内容与部门履职及规划计划匹配度有得提高，追加预算项目支出金额较高。预算确定的资金量与工作任务不相匹配。</w:t>
      </w:r>
      <w:r>
        <w:rPr>
          <w:rFonts w:ascii="Times New Roman" w:eastAsia="仿宋_GB2312" w:hAnsi="Times New Roman" w:cs="Times New Roman"/>
          <w:color w:val="000000"/>
          <w:kern w:val="0"/>
          <w:sz w:val="32"/>
          <w:szCs w:val="22"/>
        </w:rPr>
        <w:t>四是管理制度不完善，尚未制定绩效跟踪管理办法及部门绩效目标实现的长效机制。</w:t>
      </w:r>
    </w:p>
    <w:p w14:paraId="770BE8E7" w14:textId="77777777" w:rsidR="008F0A2E" w:rsidRDefault="00000000">
      <w:pPr>
        <w:pStyle w:val="TOC1"/>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eastAsia="黑体" w:hAnsi="Times New Roman" w:cs="Times New Roman"/>
          <w:color w:val="000000"/>
          <w:kern w:val="0"/>
          <w:sz w:val="32"/>
          <w:szCs w:val="21"/>
        </w:rPr>
        <w:t xml:space="preserve">   </w:t>
      </w:r>
      <w:r>
        <w:rPr>
          <w:rFonts w:ascii="Times New Roman" w:eastAsia="黑体" w:hAnsi="Times New Roman" w:cs="Times New Roman"/>
          <w:color w:val="000000"/>
          <w:kern w:val="0"/>
          <w:sz w:val="32"/>
          <w:szCs w:val="21"/>
        </w:rPr>
        <w:t>四、有关建议</w:t>
      </w:r>
    </w:p>
    <w:p w14:paraId="1EF2DD0E" w14:textId="77777777" w:rsidR="008F0A2E" w:rsidRDefault="00000000">
      <w:pPr>
        <w:ind w:firstLineChars="200" w:firstLine="640"/>
        <w:rPr>
          <w:rFonts w:ascii="Times New Roman" w:eastAsia="仿宋_GB2312" w:hAnsi="Times New Roman" w:cs="Times New Roman"/>
          <w:color w:val="000000"/>
          <w:kern w:val="0"/>
          <w:sz w:val="32"/>
          <w:szCs w:val="22"/>
        </w:rPr>
      </w:pPr>
      <w:r>
        <w:rPr>
          <w:rFonts w:ascii="Times New Roman" w:eastAsia="仿宋_GB2312" w:hAnsi="Times New Roman" w:cs="Times New Roman"/>
          <w:color w:val="000000"/>
          <w:kern w:val="0"/>
          <w:sz w:val="32"/>
          <w:szCs w:val="22"/>
        </w:rPr>
        <w:t>1</w:t>
      </w:r>
      <w:r>
        <w:rPr>
          <w:rFonts w:ascii="Times New Roman" w:eastAsia="仿宋_GB2312" w:hAnsi="Times New Roman" w:cs="Times New Roman"/>
          <w:color w:val="000000"/>
          <w:kern w:val="0"/>
          <w:sz w:val="32"/>
          <w:szCs w:val="22"/>
        </w:rPr>
        <w:t>、建议依据省委省政府的总体规化，将任务落实到部门中长期规划中；中长期规划要对总体目标、规划实施内容及时间安排有明确规定；对部门各项职能的履行进行完整规划。</w:t>
      </w:r>
    </w:p>
    <w:p w14:paraId="661734BB" w14:textId="77777777" w:rsidR="008F0A2E" w:rsidRDefault="00000000">
      <w:pPr>
        <w:ind w:firstLineChars="200" w:firstLine="640"/>
        <w:rPr>
          <w:rFonts w:ascii="Times New Roman" w:eastAsia="仿宋_GB2312" w:hAnsi="Times New Roman" w:cs="Times New Roman"/>
          <w:color w:val="000000"/>
          <w:kern w:val="0"/>
          <w:sz w:val="32"/>
          <w:szCs w:val="22"/>
        </w:rPr>
      </w:pPr>
      <w:r>
        <w:rPr>
          <w:rFonts w:ascii="Times New Roman" w:eastAsia="仿宋_GB2312" w:hAnsi="Times New Roman" w:cs="Times New Roman"/>
          <w:color w:val="000000"/>
          <w:kern w:val="0"/>
          <w:sz w:val="32"/>
          <w:szCs w:val="22"/>
        </w:rPr>
        <w:t>2</w:t>
      </w:r>
      <w:r>
        <w:rPr>
          <w:rFonts w:ascii="Times New Roman" w:eastAsia="仿宋_GB2312" w:hAnsi="Times New Roman" w:cs="Times New Roman"/>
          <w:color w:val="000000"/>
          <w:kern w:val="0"/>
          <w:sz w:val="32"/>
          <w:szCs w:val="22"/>
        </w:rPr>
        <w:t>、</w:t>
      </w:r>
      <w:r>
        <w:rPr>
          <w:rFonts w:ascii="Times New Roman" w:eastAsia="仿宋_GB2312" w:hAnsi="Times New Roman" w:cs="Times New Roman"/>
          <w:kern w:val="0"/>
          <w:sz w:val="32"/>
          <w:szCs w:val="22"/>
        </w:rPr>
        <w:t>科学、合理的编制部门整体支出预算。</w:t>
      </w:r>
      <w:r>
        <w:rPr>
          <w:rFonts w:ascii="Times New Roman" w:eastAsia="仿宋_GB2312" w:hAnsi="Times New Roman" w:cs="Times New Roman"/>
          <w:color w:val="000000"/>
          <w:kern w:val="0"/>
          <w:sz w:val="32"/>
          <w:szCs w:val="22"/>
        </w:rPr>
        <w:t>做到预算编制论证科学、标准明确，资金额度与年度目标相适应。即符合本部门职责、又符合区委区政府的方针政策和工作要求。</w:t>
      </w:r>
    </w:p>
    <w:p w14:paraId="234ED130" w14:textId="77777777" w:rsidR="008F0A2E" w:rsidRDefault="00000000">
      <w:pPr>
        <w:ind w:firstLineChars="200" w:firstLine="640"/>
        <w:rPr>
          <w:rFonts w:ascii="Times New Roman" w:eastAsia="仿宋_GB2312" w:hAnsi="Times New Roman" w:cs="Times New Roman"/>
          <w:color w:val="000000"/>
          <w:kern w:val="0"/>
          <w:sz w:val="32"/>
          <w:szCs w:val="22"/>
        </w:rPr>
      </w:pPr>
      <w:r>
        <w:rPr>
          <w:rFonts w:ascii="Times New Roman" w:eastAsia="仿宋_GB2312" w:hAnsi="Times New Roman" w:cs="Times New Roman"/>
          <w:color w:val="000000"/>
          <w:kern w:val="0"/>
          <w:sz w:val="32"/>
          <w:szCs w:val="22"/>
        </w:rPr>
        <w:t>3</w:t>
      </w:r>
      <w:r>
        <w:rPr>
          <w:rFonts w:ascii="Times New Roman" w:eastAsia="仿宋_GB2312" w:hAnsi="Times New Roman" w:cs="Times New Roman"/>
          <w:color w:val="000000"/>
          <w:kern w:val="0"/>
          <w:sz w:val="32"/>
          <w:szCs w:val="22"/>
        </w:rPr>
        <w:t>、进一步加强预算绩效目标值设定的合理性，预算目标设定在参照上年度执行情况基础上的同时应对部门基础数据进行更加详尽的分析和预测，结合实际调研情况以及本年度资金使用规划情况，设置与本年资金支出量相匹配的绩效目标值。</w:t>
      </w:r>
    </w:p>
    <w:p w14:paraId="21BBDD74" w14:textId="77777777" w:rsidR="008F0A2E" w:rsidRDefault="00000000">
      <w:pPr>
        <w:ind w:firstLineChars="200" w:firstLine="640"/>
        <w:rPr>
          <w:rFonts w:ascii="Times New Roman" w:eastAsia="仿宋_GB2312" w:hAnsi="Times New Roman" w:cs="Times New Roman"/>
          <w:color w:val="000000"/>
          <w:kern w:val="0"/>
          <w:sz w:val="32"/>
          <w:szCs w:val="22"/>
        </w:rPr>
      </w:pPr>
      <w:r>
        <w:rPr>
          <w:rFonts w:ascii="Times New Roman" w:eastAsia="仿宋_GB2312" w:hAnsi="Times New Roman" w:cs="Times New Roman"/>
          <w:color w:val="000000"/>
          <w:kern w:val="0"/>
          <w:sz w:val="32"/>
          <w:szCs w:val="22"/>
        </w:rPr>
        <w:t>4</w:t>
      </w:r>
      <w:r>
        <w:rPr>
          <w:rFonts w:ascii="Times New Roman" w:eastAsia="仿宋_GB2312" w:hAnsi="Times New Roman" w:cs="Times New Roman"/>
          <w:color w:val="000000"/>
          <w:kern w:val="0"/>
          <w:sz w:val="32"/>
          <w:szCs w:val="22"/>
        </w:rPr>
        <w:t>、健全部门整体支出绩效管理制度。建议制定部门预算绩效跟踪管理办法，充分发挥绩效管理制度对部门履职的保障作用；</w:t>
      </w:r>
      <w:r>
        <w:rPr>
          <w:rFonts w:ascii="Times New Roman" w:eastAsia="仿宋_GB2312" w:hAnsi="Times New Roman" w:cs="Times New Roman"/>
          <w:kern w:val="0"/>
          <w:sz w:val="32"/>
          <w:szCs w:val="22"/>
        </w:rPr>
        <w:t>建立部门绩效目标实现的长效机制。一是要有比较规范、稳定、配套的制度体系；二是要有推动制度正常运</w:t>
      </w:r>
      <w:r>
        <w:rPr>
          <w:rFonts w:ascii="Times New Roman" w:eastAsia="仿宋_GB2312" w:hAnsi="Times New Roman" w:cs="Times New Roman"/>
          <w:kern w:val="0"/>
          <w:sz w:val="32"/>
          <w:szCs w:val="22"/>
        </w:rPr>
        <w:lastRenderedPageBreak/>
        <w:t>行的</w:t>
      </w:r>
      <w:r>
        <w:rPr>
          <w:rFonts w:ascii="Times New Roman" w:eastAsia="仿宋_GB2312" w:hAnsi="Times New Roman" w:cs="Times New Roman"/>
          <w:kern w:val="0"/>
          <w:sz w:val="32"/>
          <w:szCs w:val="22"/>
        </w:rPr>
        <w:t>“</w:t>
      </w:r>
      <w:r>
        <w:rPr>
          <w:rFonts w:ascii="Times New Roman" w:eastAsia="仿宋_GB2312" w:hAnsi="Times New Roman" w:cs="Times New Roman"/>
          <w:kern w:val="0"/>
          <w:sz w:val="32"/>
          <w:szCs w:val="22"/>
        </w:rPr>
        <w:t>动力源</w:t>
      </w:r>
      <w:r>
        <w:rPr>
          <w:rFonts w:ascii="Times New Roman" w:eastAsia="仿宋_GB2312" w:hAnsi="Times New Roman" w:cs="Times New Roman"/>
          <w:kern w:val="0"/>
          <w:sz w:val="32"/>
          <w:szCs w:val="22"/>
        </w:rPr>
        <w:t>”</w:t>
      </w:r>
      <w:r>
        <w:rPr>
          <w:rFonts w:ascii="Times New Roman" w:eastAsia="仿宋_GB2312" w:hAnsi="Times New Roman" w:cs="Times New Roman"/>
          <w:kern w:val="0"/>
          <w:sz w:val="32"/>
          <w:szCs w:val="22"/>
        </w:rPr>
        <w:t>。即要有出于自身利益而积极推动和监督制度运行的组织和个体。</w:t>
      </w:r>
    </w:p>
    <w:sectPr w:rsidR="008F0A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panose1 w:val="02010601030101010101"/>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c5NGY1ZWQzMjU1NjM3OTAwNzMxY2IwYzA2Y2YwMDIifQ=="/>
  </w:docVars>
  <w:rsids>
    <w:rsidRoot w:val="008F0A2E"/>
    <w:rsid w:val="00011E63"/>
    <w:rsid w:val="008F0A2E"/>
    <w:rsid w:val="030376E3"/>
    <w:rsid w:val="058B4EB5"/>
    <w:rsid w:val="0DE06AE0"/>
    <w:rsid w:val="0F9B2D3F"/>
    <w:rsid w:val="10CF50A9"/>
    <w:rsid w:val="126A672B"/>
    <w:rsid w:val="16FA6A59"/>
    <w:rsid w:val="212C4A92"/>
    <w:rsid w:val="21E32721"/>
    <w:rsid w:val="22D81FE9"/>
    <w:rsid w:val="245A2A83"/>
    <w:rsid w:val="29B91A2A"/>
    <w:rsid w:val="2A223CF9"/>
    <w:rsid w:val="2B5D17D7"/>
    <w:rsid w:val="2E6E6427"/>
    <w:rsid w:val="32C2529C"/>
    <w:rsid w:val="362D624A"/>
    <w:rsid w:val="373F63C5"/>
    <w:rsid w:val="3A67175D"/>
    <w:rsid w:val="3B331A0F"/>
    <w:rsid w:val="3EC50829"/>
    <w:rsid w:val="40752CC7"/>
    <w:rsid w:val="4CAC6C6D"/>
    <w:rsid w:val="50382A15"/>
    <w:rsid w:val="51FD29EF"/>
    <w:rsid w:val="523D57F0"/>
    <w:rsid w:val="548F52B5"/>
    <w:rsid w:val="56BE0ACC"/>
    <w:rsid w:val="5A302E56"/>
    <w:rsid w:val="5D666497"/>
    <w:rsid w:val="5D717DB1"/>
    <w:rsid w:val="5DA231D6"/>
    <w:rsid w:val="5EA848A7"/>
    <w:rsid w:val="67235CFE"/>
    <w:rsid w:val="69717C20"/>
    <w:rsid w:val="6A933BC6"/>
    <w:rsid w:val="6B014E6F"/>
    <w:rsid w:val="6B603B5D"/>
    <w:rsid w:val="6C333CE4"/>
    <w:rsid w:val="6E0C6169"/>
    <w:rsid w:val="6F711587"/>
    <w:rsid w:val="6FD35191"/>
    <w:rsid w:val="73944C37"/>
    <w:rsid w:val="78537116"/>
    <w:rsid w:val="79123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37D2C4"/>
  <w15:docId w15:val="{B401500B-263F-4AD3-AAE0-9F82543A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139</Words>
  <Characters>793</Characters>
  <Application>Microsoft Office Word</Application>
  <DocSecurity>0</DocSecurity>
  <Lines>6</Lines>
  <Paragraphs>1</Paragraphs>
  <ScaleCrop>false</ScaleCrop>
  <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珘 周</cp:lastModifiedBy>
  <cp:revision>2</cp:revision>
  <dcterms:created xsi:type="dcterms:W3CDTF">2023-10-18T06:07:00Z</dcterms:created>
  <dcterms:modified xsi:type="dcterms:W3CDTF">2023-10-18T06:07:00Z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D9409BDE30AD4C66B0FA5EA91D22D5D7_13</vt:lpwstr>
  </property>
</Properties>
</file>